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061C" w14:textId="77777777" w:rsidR="003B1D5B" w:rsidRDefault="003B1D5B" w:rsidP="003B1D5B">
      <w:pPr>
        <w:ind w:left="-142" w:firstLine="142"/>
        <w:jc w:val="both"/>
        <w:rPr>
          <w:rFonts w:ascii="Roboto Light" w:hAnsi="Roboto Light"/>
          <w:b/>
          <w:bCs/>
          <w:sz w:val="22"/>
          <w:szCs w:val="22"/>
        </w:rPr>
      </w:pPr>
    </w:p>
    <w:p w14:paraId="24CC7B0C" w14:textId="3D03AFC6" w:rsidR="002B3000" w:rsidRPr="00E85A65" w:rsidRDefault="00E85A65" w:rsidP="003B1D5B">
      <w:pPr>
        <w:ind w:left="-142" w:firstLine="142"/>
        <w:jc w:val="both"/>
        <w:rPr>
          <w:rFonts w:ascii="Roboto Light" w:hAnsi="Roboto Light"/>
          <w:b/>
          <w:bCs/>
          <w:sz w:val="22"/>
          <w:szCs w:val="22"/>
        </w:rPr>
      </w:pPr>
      <w:r w:rsidRPr="00E85A65">
        <w:rPr>
          <w:rFonts w:ascii="Roboto Light" w:hAnsi="Roboto Light"/>
          <w:b/>
          <w:bCs/>
          <w:sz w:val="22"/>
          <w:szCs w:val="22"/>
        </w:rPr>
        <w:t>SMIT töötasustamise põhimõtete uuendamise memo</w:t>
      </w:r>
    </w:p>
    <w:p w14:paraId="10E703A1" w14:textId="77777777" w:rsidR="00FF7C86" w:rsidRDefault="00E85A65" w:rsidP="00C23B6B">
      <w:p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Töötasustamise põhimõtteid uuendati läbivalt – peatükke tõsteti ringi, et dokumendi ülesehitus oleks loogilisem. </w:t>
      </w:r>
    </w:p>
    <w:p w14:paraId="4552CF54" w14:textId="35445347" w:rsidR="00E85A65" w:rsidRDefault="00E85A65" w:rsidP="00C23B6B">
      <w:p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SMIT töötasustamise protsessi (tasu kujunemine, muutmine jms) kirjeldati selgemalt </w:t>
      </w:r>
      <w:r w:rsidR="00FF7C86">
        <w:rPr>
          <w:rFonts w:ascii="Roboto Light" w:hAnsi="Roboto Light"/>
          <w:sz w:val="22"/>
          <w:szCs w:val="22"/>
        </w:rPr>
        <w:t>ja põhjalikumalt l</w:t>
      </w:r>
      <w:r>
        <w:rPr>
          <w:rFonts w:ascii="Roboto Light" w:hAnsi="Roboto Light"/>
          <w:sz w:val="22"/>
          <w:szCs w:val="22"/>
        </w:rPr>
        <w:t>ahti.</w:t>
      </w:r>
    </w:p>
    <w:p w14:paraId="7A7E2734" w14:textId="641AE1D0" w:rsidR="00FF7C86" w:rsidRDefault="00FF7C86" w:rsidP="00C23B6B">
      <w:p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Olulisemad muudatused ja uuendused:</w:t>
      </w:r>
    </w:p>
    <w:p w14:paraId="0C85568B" w14:textId="65F64A41" w:rsidR="00E85A65" w:rsidRDefault="00E85A65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Põhimõtetesse lisati info, kuidas toimub töötasustamise põhimõtete tutvustamine töötajatele ja tööle kandideerijatele (vt punkt 1.</w:t>
      </w:r>
      <w:r w:rsidR="00FF7C86">
        <w:rPr>
          <w:rFonts w:ascii="Roboto Light" w:hAnsi="Roboto Light"/>
          <w:sz w:val="22"/>
          <w:szCs w:val="22"/>
        </w:rPr>
        <w:t>5</w:t>
      </w:r>
      <w:r>
        <w:rPr>
          <w:rFonts w:ascii="Roboto Light" w:hAnsi="Roboto Light"/>
          <w:sz w:val="22"/>
          <w:szCs w:val="22"/>
        </w:rPr>
        <w:t>). Samuti lisati viide SMIT väärtuspakkumisele, mis on osa terviklikust väärtuspakkumisest (vt punkt 1.</w:t>
      </w:r>
      <w:r w:rsidR="00FF7C86">
        <w:rPr>
          <w:rFonts w:ascii="Roboto Light" w:hAnsi="Roboto Light"/>
          <w:sz w:val="22"/>
          <w:szCs w:val="22"/>
        </w:rPr>
        <w:t>6</w:t>
      </w:r>
      <w:r>
        <w:rPr>
          <w:rFonts w:ascii="Roboto Light" w:hAnsi="Roboto Light"/>
          <w:sz w:val="22"/>
          <w:szCs w:val="22"/>
        </w:rPr>
        <w:t>).</w:t>
      </w:r>
    </w:p>
    <w:p w14:paraId="38B05ED2" w14:textId="244713AE" w:rsidR="00FF7C86" w:rsidRDefault="00E85A65" w:rsidP="00FF7C86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Põhimõt</w:t>
      </w:r>
      <w:r w:rsidR="00C23B6B">
        <w:rPr>
          <w:rFonts w:ascii="Roboto Light" w:hAnsi="Roboto Light"/>
          <w:sz w:val="22"/>
          <w:szCs w:val="22"/>
        </w:rPr>
        <w:t>etest võeti maha mõistete osa</w:t>
      </w:r>
      <w:r w:rsidR="00FF7C86">
        <w:rPr>
          <w:rFonts w:ascii="Roboto Light" w:hAnsi="Roboto Light"/>
          <w:sz w:val="22"/>
          <w:szCs w:val="22"/>
        </w:rPr>
        <w:t xml:space="preserve"> (endine peatükk 2)</w:t>
      </w:r>
      <w:r w:rsidR="00C23B6B">
        <w:rPr>
          <w:rFonts w:ascii="Roboto Light" w:hAnsi="Roboto Light"/>
          <w:sz w:val="22"/>
          <w:szCs w:val="22"/>
        </w:rPr>
        <w:t xml:space="preserve"> – kõik vajalikud mõisted on </w:t>
      </w:r>
      <w:r w:rsidR="00FF7C86">
        <w:rPr>
          <w:rFonts w:ascii="Roboto Light" w:hAnsi="Roboto Light"/>
          <w:sz w:val="22"/>
          <w:szCs w:val="22"/>
        </w:rPr>
        <w:t xml:space="preserve">nüüd </w:t>
      </w:r>
      <w:r w:rsidR="00C23B6B">
        <w:rPr>
          <w:rFonts w:ascii="Roboto Light" w:hAnsi="Roboto Light"/>
          <w:sz w:val="22"/>
          <w:szCs w:val="22"/>
        </w:rPr>
        <w:t>lahti selgitatud teksti sees.</w:t>
      </w:r>
    </w:p>
    <w:p w14:paraId="3D7A1EC2" w14:textId="59067C7A" w:rsidR="009B631F" w:rsidRDefault="009B631F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Punktis </w:t>
      </w:r>
      <w:r w:rsidR="00FF7C86">
        <w:rPr>
          <w:rFonts w:ascii="Roboto Light" w:hAnsi="Roboto Light"/>
          <w:sz w:val="22"/>
          <w:szCs w:val="22"/>
        </w:rPr>
        <w:t>2</w:t>
      </w:r>
      <w:r>
        <w:rPr>
          <w:rFonts w:ascii="Roboto Light" w:hAnsi="Roboto Light"/>
          <w:sz w:val="22"/>
          <w:szCs w:val="22"/>
        </w:rPr>
        <w:t>.3 kirjeldati põhjalikumalt lahti mida tähendab sisemine õiglus ja väline konkurentsivõime ning, kuidas neid töötasude määramisel rakendatakse.</w:t>
      </w:r>
    </w:p>
    <w:p w14:paraId="2C0CD9B7" w14:textId="69025E3E" w:rsidR="00E85A65" w:rsidRDefault="00E85A65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Lisat</w:t>
      </w:r>
      <w:r w:rsidR="00FF7C86">
        <w:rPr>
          <w:rFonts w:ascii="Roboto Light" w:hAnsi="Roboto Light"/>
          <w:sz w:val="22"/>
          <w:szCs w:val="22"/>
        </w:rPr>
        <w:t>i</w:t>
      </w:r>
      <w:r>
        <w:rPr>
          <w:rFonts w:ascii="Roboto Light" w:hAnsi="Roboto Light"/>
          <w:sz w:val="22"/>
          <w:szCs w:val="22"/>
        </w:rPr>
        <w:t xml:space="preserve"> punkt </w:t>
      </w:r>
      <w:r w:rsidR="00FF7C86">
        <w:rPr>
          <w:rFonts w:ascii="Roboto Light" w:hAnsi="Roboto Light"/>
          <w:sz w:val="22"/>
          <w:szCs w:val="22"/>
        </w:rPr>
        <w:t>2</w:t>
      </w:r>
      <w:r>
        <w:rPr>
          <w:rFonts w:ascii="Roboto Light" w:hAnsi="Roboto Light"/>
          <w:sz w:val="22"/>
          <w:szCs w:val="22"/>
        </w:rPr>
        <w:t>.4, mis kirjeldab, kuidas käitub asutus olukorras, kus eelarvelised võimalused on piiratud – kuidas (mille alusel) käib prioriteetide seadmine.</w:t>
      </w:r>
    </w:p>
    <w:p w14:paraId="137718A7" w14:textId="6DE6A8D4" w:rsidR="00FF7C86" w:rsidRDefault="00FF7C86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Selgitati detailsemalt lahti, mis on kriitiline kompetents (punkt 2.5 ja 2.6)</w:t>
      </w:r>
    </w:p>
    <w:p w14:paraId="6ADE6802" w14:textId="13EC22CF" w:rsidR="009B631F" w:rsidRDefault="009B631F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Punktis 3.5 kirjeldati erandid – millistes olukordades võib töötasu kujunemisel arvestada suuremal määral IKT sektori tööjõuturu konkurentsiolukorda.</w:t>
      </w:r>
    </w:p>
    <w:p w14:paraId="4FC9C322" w14:textId="5061C585" w:rsidR="00E85A65" w:rsidRDefault="00E85A65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Lisati punkt </w:t>
      </w:r>
      <w:r w:rsidR="00FF7C86">
        <w:rPr>
          <w:rFonts w:ascii="Roboto Light" w:hAnsi="Roboto Light"/>
          <w:sz w:val="22"/>
          <w:szCs w:val="22"/>
        </w:rPr>
        <w:t>2</w:t>
      </w:r>
      <w:r>
        <w:rPr>
          <w:rFonts w:ascii="Roboto Light" w:hAnsi="Roboto Light"/>
          <w:sz w:val="22"/>
          <w:szCs w:val="22"/>
        </w:rPr>
        <w:t>.</w:t>
      </w:r>
      <w:r w:rsidR="00FF7C86">
        <w:rPr>
          <w:rFonts w:ascii="Roboto Light" w:hAnsi="Roboto Light"/>
          <w:sz w:val="22"/>
          <w:szCs w:val="22"/>
        </w:rPr>
        <w:t>9</w:t>
      </w:r>
      <w:r>
        <w:rPr>
          <w:rFonts w:ascii="Roboto Light" w:hAnsi="Roboto Light"/>
          <w:sz w:val="22"/>
          <w:szCs w:val="22"/>
        </w:rPr>
        <w:t xml:space="preserve"> – töötaja õigus oma töötasu kujunemise kohta infot küsida ning kes seda infot talle jagab.</w:t>
      </w:r>
    </w:p>
    <w:p w14:paraId="754D93AB" w14:textId="088E5386" w:rsidR="00F7046C" w:rsidRPr="00F7046C" w:rsidRDefault="00FF7C86" w:rsidP="00F7046C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Töötasu määramise ja muutmise peatükis kirjeldati protsessi ja sellega kaasnevat vastutust– kes teeb ettepaneku, mida jälgib personal, mida finantsosakond ning kes langetab lõpliku otsuse (vt punkt 3.1).</w:t>
      </w:r>
    </w:p>
    <w:p w14:paraId="4710BE7C" w14:textId="3039359F" w:rsidR="00EA5DF5" w:rsidRDefault="00EA5DF5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Punktis </w:t>
      </w:r>
      <w:r w:rsidR="00F7046C">
        <w:rPr>
          <w:rFonts w:ascii="Roboto Light" w:hAnsi="Roboto Light"/>
          <w:sz w:val="22"/>
          <w:szCs w:val="22"/>
        </w:rPr>
        <w:t>3</w:t>
      </w:r>
      <w:r>
        <w:rPr>
          <w:rFonts w:ascii="Roboto Light" w:hAnsi="Roboto Light"/>
          <w:sz w:val="22"/>
          <w:szCs w:val="22"/>
        </w:rPr>
        <w:t xml:space="preserve">.4 kirjeldati </w:t>
      </w:r>
      <w:r w:rsidR="00913802">
        <w:rPr>
          <w:rFonts w:ascii="Roboto Light" w:hAnsi="Roboto Light"/>
          <w:sz w:val="22"/>
          <w:szCs w:val="22"/>
        </w:rPr>
        <w:t>kas ja</w:t>
      </w:r>
      <w:r>
        <w:rPr>
          <w:rFonts w:ascii="Roboto Light" w:hAnsi="Roboto Light"/>
          <w:sz w:val="22"/>
          <w:szCs w:val="22"/>
        </w:rPr>
        <w:t xml:space="preserve"> kuidas toimub regulaarne töötasude ülevaatus olukorras, kus töötaja on alles tööle asunud või töökohta </w:t>
      </w:r>
      <w:proofErr w:type="spellStart"/>
      <w:r>
        <w:rPr>
          <w:rFonts w:ascii="Roboto Light" w:hAnsi="Roboto Light"/>
          <w:sz w:val="22"/>
          <w:szCs w:val="22"/>
        </w:rPr>
        <w:t>org.siseselt</w:t>
      </w:r>
      <w:proofErr w:type="spellEnd"/>
      <w:r>
        <w:rPr>
          <w:rFonts w:ascii="Roboto Light" w:hAnsi="Roboto Light"/>
          <w:sz w:val="22"/>
          <w:szCs w:val="22"/>
        </w:rPr>
        <w:t xml:space="preserve"> vahetanud.</w:t>
      </w:r>
    </w:p>
    <w:p w14:paraId="09FF96BC" w14:textId="54BAC0C9" w:rsidR="00F7046C" w:rsidRDefault="00F7046C" w:rsidP="00F7046C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Peatükis 4 kirjeldatakse tööjõukulude eelarvet ja selle jaotamise põhimõtteid. Lisati punt 4.3, mis selgitab kalendriaasta arvestuses eelarve planeerimist (sh vabad töökohad).</w:t>
      </w:r>
    </w:p>
    <w:p w14:paraId="021734CB" w14:textId="6259E783" w:rsidR="00F7046C" w:rsidRDefault="00F7046C" w:rsidP="00F7046C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Samuti lisatud punkt 4.6, mis ütleb et tööjõukulude eelarvet seiratakse regulaarselt finantsosakonna ja personaliosakonna koostöös.</w:t>
      </w:r>
    </w:p>
    <w:p w14:paraId="1143CF67" w14:textId="6C60FD1C" w:rsidR="00D66423" w:rsidRDefault="00D66423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Muutuvtasud tõsteti kõik kokku ühe peatükki alla (vt </w:t>
      </w:r>
      <w:proofErr w:type="spellStart"/>
      <w:r>
        <w:rPr>
          <w:rFonts w:ascii="Roboto Light" w:hAnsi="Roboto Light"/>
          <w:sz w:val="22"/>
          <w:szCs w:val="22"/>
        </w:rPr>
        <w:t>pt</w:t>
      </w:r>
      <w:proofErr w:type="spellEnd"/>
      <w:r>
        <w:rPr>
          <w:rFonts w:ascii="Roboto Light" w:hAnsi="Roboto Light"/>
          <w:sz w:val="22"/>
          <w:szCs w:val="22"/>
        </w:rPr>
        <w:t xml:space="preserve">  </w:t>
      </w:r>
      <w:r w:rsidR="00F7046C">
        <w:rPr>
          <w:rFonts w:ascii="Roboto Light" w:hAnsi="Roboto Light"/>
          <w:sz w:val="22"/>
          <w:szCs w:val="22"/>
        </w:rPr>
        <w:t>5</w:t>
      </w:r>
      <w:r>
        <w:rPr>
          <w:rFonts w:ascii="Roboto Light" w:hAnsi="Roboto Light"/>
          <w:sz w:val="22"/>
          <w:szCs w:val="22"/>
        </w:rPr>
        <w:t xml:space="preserve">) – varasemalt olid need eraldi peatükkide all. </w:t>
      </w:r>
      <w:r w:rsidR="00452BA6">
        <w:rPr>
          <w:rFonts w:ascii="Roboto Light" w:hAnsi="Roboto Light"/>
          <w:sz w:val="22"/>
          <w:szCs w:val="22"/>
        </w:rPr>
        <w:t>Selgitati, mis on muutuvtasu olemus.</w:t>
      </w:r>
    </w:p>
    <w:p w14:paraId="18F52887" w14:textId="0430C404" w:rsidR="00D66423" w:rsidRDefault="00D66423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Soovitamistasu maksmise alla lisati täpsustus, et soovitamistasu saamiseks peab soovitaja olema uue töötaja katseaja läbimise hetkeks endiselt </w:t>
      </w:r>
      <w:proofErr w:type="spellStart"/>
      <w:r>
        <w:rPr>
          <w:rFonts w:ascii="Roboto Light" w:hAnsi="Roboto Light"/>
          <w:sz w:val="22"/>
          <w:szCs w:val="22"/>
        </w:rPr>
        <w:t>SMITi</w:t>
      </w:r>
      <w:proofErr w:type="spellEnd"/>
      <w:r>
        <w:rPr>
          <w:rFonts w:ascii="Roboto Light" w:hAnsi="Roboto Light"/>
          <w:sz w:val="22"/>
          <w:szCs w:val="22"/>
        </w:rPr>
        <w:t xml:space="preserve"> töötaja</w:t>
      </w:r>
      <w:r w:rsidR="00E135FA">
        <w:rPr>
          <w:rFonts w:ascii="Roboto Light" w:hAnsi="Roboto Light"/>
          <w:sz w:val="22"/>
          <w:szCs w:val="22"/>
        </w:rPr>
        <w:t xml:space="preserve"> (vt punkt 5.9.3)</w:t>
      </w:r>
      <w:r>
        <w:rPr>
          <w:rFonts w:ascii="Roboto Light" w:hAnsi="Roboto Light"/>
          <w:sz w:val="22"/>
          <w:szCs w:val="22"/>
        </w:rPr>
        <w:t>. Tasu ei maksta töölt lahkunud töötajale.</w:t>
      </w:r>
    </w:p>
    <w:p w14:paraId="59CB1631" w14:textId="349F117A" w:rsidR="00D66423" w:rsidRDefault="00D66423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Põhimõtetesse lisati viide SMIT valveaja põhimõtete </w:t>
      </w:r>
      <w:proofErr w:type="spellStart"/>
      <w:r>
        <w:rPr>
          <w:rFonts w:ascii="Roboto Light" w:hAnsi="Roboto Light"/>
          <w:sz w:val="22"/>
          <w:szCs w:val="22"/>
        </w:rPr>
        <w:t>wikilehele</w:t>
      </w:r>
      <w:proofErr w:type="spellEnd"/>
      <w:r>
        <w:rPr>
          <w:rFonts w:ascii="Roboto Light" w:hAnsi="Roboto Light"/>
          <w:sz w:val="22"/>
          <w:szCs w:val="22"/>
        </w:rPr>
        <w:t xml:space="preserve"> (vt punkt </w:t>
      </w:r>
      <w:r w:rsidR="00E135FA">
        <w:rPr>
          <w:rFonts w:ascii="Roboto Light" w:hAnsi="Roboto Light"/>
          <w:sz w:val="22"/>
          <w:szCs w:val="22"/>
        </w:rPr>
        <w:t>5</w:t>
      </w:r>
      <w:r>
        <w:rPr>
          <w:rFonts w:ascii="Roboto Light" w:hAnsi="Roboto Light"/>
          <w:sz w:val="22"/>
          <w:szCs w:val="22"/>
        </w:rPr>
        <w:t>.1</w:t>
      </w:r>
      <w:r w:rsidR="00E135FA">
        <w:rPr>
          <w:rFonts w:ascii="Roboto Light" w:hAnsi="Roboto Light"/>
          <w:sz w:val="22"/>
          <w:szCs w:val="22"/>
        </w:rPr>
        <w:t>3</w:t>
      </w:r>
      <w:r>
        <w:rPr>
          <w:rFonts w:ascii="Roboto Light" w:hAnsi="Roboto Light"/>
          <w:sz w:val="22"/>
          <w:szCs w:val="22"/>
        </w:rPr>
        <w:t>)</w:t>
      </w:r>
    </w:p>
    <w:p w14:paraId="4733FB54" w14:textId="77777777" w:rsidR="00E135FA" w:rsidRDefault="00E135FA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Toetused ja muud hüvitised tõsteti kokku peatükki 6. </w:t>
      </w:r>
    </w:p>
    <w:p w14:paraId="0BDF5034" w14:textId="305D1E80" w:rsidR="00CD0222" w:rsidRDefault="00CD0222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Kirjeldati lahti, kuidas käib matusetoetuse taotlemine (vt punkt </w:t>
      </w:r>
      <w:r w:rsidR="00E135FA">
        <w:rPr>
          <w:rFonts w:ascii="Roboto Light" w:hAnsi="Roboto Light"/>
          <w:sz w:val="22"/>
          <w:szCs w:val="22"/>
        </w:rPr>
        <w:t>6</w:t>
      </w:r>
      <w:r>
        <w:rPr>
          <w:rFonts w:ascii="Roboto Light" w:hAnsi="Roboto Light"/>
          <w:sz w:val="22"/>
          <w:szCs w:val="22"/>
        </w:rPr>
        <w:t>.3)</w:t>
      </w:r>
    </w:p>
    <w:p w14:paraId="5EA305BA" w14:textId="2C18FD54" w:rsidR="00CD0222" w:rsidRDefault="00CD0222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Põhimõtetesse lisatud juurde erandi võimalus 1x toetuse või hüvitise maksmiseks SMIT töötajale põhjendatus juhtudel (vt punkt </w:t>
      </w:r>
      <w:r w:rsidR="00E135FA">
        <w:rPr>
          <w:rFonts w:ascii="Roboto Light" w:hAnsi="Roboto Light"/>
          <w:sz w:val="22"/>
          <w:szCs w:val="22"/>
        </w:rPr>
        <w:t>6</w:t>
      </w:r>
      <w:r>
        <w:rPr>
          <w:rFonts w:ascii="Roboto Light" w:hAnsi="Roboto Light"/>
          <w:sz w:val="22"/>
          <w:szCs w:val="22"/>
        </w:rPr>
        <w:t>.</w:t>
      </w:r>
      <w:r w:rsidR="00E135FA">
        <w:rPr>
          <w:rFonts w:ascii="Roboto Light" w:hAnsi="Roboto Light"/>
          <w:sz w:val="22"/>
          <w:szCs w:val="22"/>
        </w:rPr>
        <w:t>6</w:t>
      </w:r>
      <w:r>
        <w:rPr>
          <w:rFonts w:ascii="Roboto Light" w:hAnsi="Roboto Light"/>
          <w:sz w:val="22"/>
          <w:szCs w:val="22"/>
        </w:rPr>
        <w:t>)</w:t>
      </w:r>
    </w:p>
    <w:p w14:paraId="3785D46B" w14:textId="38B01FB4" w:rsidR="00EF7937" w:rsidRDefault="00EF7937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Selguse huvides lisati punkt, mis kirjeldab, kuidas käib praktikatasu arvestus osakoormusega praktika puhul (vt punkt </w:t>
      </w:r>
      <w:r w:rsidR="00E135FA">
        <w:rPr>
          <w:rFonts w:ascii="Roboto Light" w:hAnsi="Roboto Light"/>
          <w:sz w:val="22"/>
          <w:szCs w:val="22"/>
        </w:rPr>
        <w:t>7</w:t>
      </w:r>
      <w:r>
        <w:rPr>
          <w:rFonts w:ascii="Roboto Light" w:hAnsi="Roboto Light"/>
          <w:sz w:val="22"/>
          <w:szCs w:val="22"/>
        </w:rPr>
        <w:t>.4)</w:t>
      </w:r>
    </w:p>
    <w:p w14:paraId="0B7BF896" w14:textId="175E97B1" w:rsidR="00E135FA" w:rsidRDefault="003A6519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lastRenderedPageBreak/>
        <w:t>Põhimõtetest võeti välja tulemustasude peatükk, sest igal aastal kinnitatakse eraldi konkreetse aasta tulemustasu maksmise p</w:t>
      </w:r>
      <w:r w:rsidR="00E135FA">
        <w:rPr>
          <w:rFonts w:ascii="Roboto Light" w:hAnsi="Roboto Light"/>
          <w:sz w:val="22"/>
          <w:szCs w:val="22"/>
        </w:rPr>
        <w:t>õhimõtted</w:t>
      </w:r>
      <w:r>
        <w:rPr>
          <w:rFonts w:ascii="Roboto Light" w:hAnsi="Roboto Light"/>
          <w:sz w:val="22"/>
          <w:szCs w:val="22"/>
        </w:rPr>
        <w:t xml:space="preserve">. </w:t>
      </w:r>
    </w:p>
    <w:p w14:paraId="3867B134" w14:textId="59FBBCED" w:rsidR="003A6519" w:rsidRDefault="003A6519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 xml:space="preserve">2026. aasta tulemustasu poliitika on lisatud põhimõtete lisas 1 ning muutuvtasude all olev punkt </w:t>
      </w:r>
      <w:r w:rsidR="00E135FA">
        <w:rPr>
          <w:rFonts w:ascii="Roboto Light" w:hAnsi="Roboto Light"/>
          <w:sz w:val="22"/>
          <w:szCs w:val="22"/>
        </w:rPr>
        <w:t xml:space="preserve">5.5 </w:t>
      </w:r>
      <w:r>
        <w:rPr>
          <w:rFonts w:ascii="Roboto Light" w:hAnsi="Roboto Light"/>
          <w:sz w:val="22"/>
          <w:szCs w:val="22"/>
        </w:rPr>
        <w:t>viitab, et asutus võib tulemustasu maksa vastavalt juhtkonna otsusele.</w:t>
      </w:r>
    </w:p>
    <w:p w14:paraId="7B7011F8" w14:textId="535CF898" w:rsidR="00C23B6B" w:rsidRDefault="00C23B6B" w:rsidP="00C23B6B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Põhimõtetest võeti välja käsunduslepingu sõlmimist puudutav osa. Kuna KÄL leping on oma olemuselt hankeleping (sõltumata eelarvest, millest tasu makstakse)</w:t>
      </w:r>
      <w:r w:rsidR="00E135FA">
        <w:rPr>
          <w:rFonts w:ascii="Roboto Light" w:hAnsi="Roboto Light"/>
          <w:sz w:val="22"/>
          <w:szCs w:val="22"/>
        </w:rPr>
        <w:t xml:space="preserve"> siis</w:t>
      </w:r>
      <w:r>
        <w:rPr>
          <w:rFonts w:ascii="Roboto Light" w:hAnsi="Roboto Light"/>
          <w:sz w:val="22"/>
          <w:szCs w:val="22"/>
        </w:rPr>
        <w:t xml:space="preserve"> reguleerivad seda õiguse ja hangete osakonna poolt loodud korrad ja juhendid.</w:t>
      </w:r>
    </w:p>
    <w:p w14:paraId="512F9989" w14:textId="4C3DC1B3" w:rsidR="00E85A65" w:rsidRDefault="00E85A65" w:rsidP="00E85A65">
      <w:pPr>
        <w:pStyle w:val="ListParagraph"/>
        <w:numPr>
          <w:ilvl w:val="0"/>
          <w:numId w:val="1"/>
        </w:numPr>
        <w:rPr>
          <w:rFonts w:ascii="Roboto Light" w:hAnsi="Roboto Light"/>
          <w:sz w:val="22"/>
          <w:szCs w:val="22"/>
        </w:rPr>
      </w:pPr>
      <w:r>
        <w:rPr>
          <w:rFonts w:ascii="Roboto Light" w:hAnsi="Roboto Light"/>
          <w:sz w:val="22"/>
          <w:szCs w:val="22"/>
        </w:rPr>
        <w:t>Kinnitati SMIT 2026. aasta tulemustasu poliitika (töötasustamise põhimõtete lisa 1)</w:t>
      </w:r>
    </w:p>
    <w:p w14:paraId="331C24E7" w14:textId="77777777" w:rsidR="00E85A65" w:rsidRDefault="00E85A65" w:rsidP="00E85A65">
      <w:pPr>
        <w:pStyle w:val="ListParagraph"/>
        <w:rPr>
          <w:rFonts w:ascii="Roboto Light" w:hAnsi="Roboto Light"/>
          <w:sz w:val="22"/>
          <w:szCs w:val="22"/>
        </w:rPr>
      </w:pPr>
    </w:p>
    <w:p w14:paraId="65EAD6D7" w14:textId="3A98841C" w:rsidR="00E85A65" w:rsidRPr="00E85A65" w:rsidRDefault="00E85A65" w:rsidP="00E85A65">
      <w:pPr>
        <w:pStyle w:val="ListParagraph"/>
        <w:rPr>
          <w:rFonts w:ascii="Roboto Light" w:hAnsi="Roboto Light"/>
          <w:sz w:val="22"/>
          <w:szCs w:val="22"/>
        </w:rPr>
      </w:pPr>
    </w:p>
    <w:sectPr w:rsidR="00E85A65" w:rsidRPr="00E85A65" w:rsidSect="003B1D5B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BA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672"/>
    <w:multiLevelType w:val="hybridMultilevel"/>
    <w:tmpl w:val="3B0471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65"/>
    <w:rsid w:val="000345DE"/>
    <w:rsid w:val="002B3000"/>
    <w:rsid w:val="002D3C07"/>
    <w:rsid w:val="003A6519"/>
    <w:rsid w:val="003B1D5B"/>
    <w:rsid w:val="00452BA6"/>
    <w:rsid w:val="004B0C09"/>
    <w:rsid w:val="00680A47"/>
    <w:rsid w:val="00913802"/>
    <w:rsid w:val="009B631F"/>
    <w:rsid w:val="00C23B6B"/>
    <w:rsid w:val="00CD0222"/>
    <w:rsid w:val="00D66423"/>
    <w:rsid w:val="00E135FA"/>
    <w:rsid w:val="00E85A65"/>
    <w:rsid w:val="00EA5DF5"/>
    <w:rsid w:val="00EF7937"/>
    <w:rsid w:val="00F7046C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28F0"/>
  <w15:chartTrackingRefBased/>
  <w15:docId w15:val="{D8E2453C-D58E-42EB-BB71-76ADB30E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Kostabi</dc:creator>
  <cp:keywords/>
  <dc:description/>
  <cp:lastModifiedBy>Triin Kostabi</cp:lastModifiedBy>
  <cp:revision>11</cp:revision>
  <dcterms:created xsi:type="dcterms:W3CDTF">2026-02-27T07:22:00Z</dcterms:created>
  <dcterms:modified xsi:type="dcterms:W3CDTF">2026-02-27T14:39:00Z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2026-02-27T07:48:10Z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f54ea2c4-9edb-4063-a7ef-fe49185aa895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